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numPr>
          <w:ilvl w:val="0"/>
          <w:numId w:val="0"/>
        </w:numPr>
        <w:ind w:hanging="0" w:left="0"/>
        <w:jc w:val="right"/>
        <w:outlineLvl w:val="0"/>
        <w:rPr>
          <w:rFonts w:ascii="Liberation Serif" w:hAnsi="Liberation Serif"/>
          <w:sz w:val="24"/>
          <w:szCs w:val="24"/>
        </w:rPr>
      </w:pPr>
      <w:r>
        <w:rPr>
          <w:rFonts w:eastAsia="Calibri" w:cs="Times New Roman" w:ascii="Liberation Serif" w:hAnsi="Liberation Serif" w:eastAsiaTheme="minorHAnsi"/>
          <w:sz w:val="24"/>
          <w:szCs w:val="24"/>
          <w:lang w:eastAsia="en-US"/>
        </w:rPr>
        <w:t>Приложение</w:t>
      </w:r>
      <w:r>
        <w:rPr>
          <w:rFonts w:eastAsia="Calibri" w:cs="Times New Roman" w:ascii="Liberation Serif" w:hAnsi="Liberation Serif" w:eastAsiaTheme="minorHAnsi"/>
          <w:sz w:val="24"/>
          <w:szCs w:val="24"/>
          <w:lang w:val="ru-RU" w:eastAsia="en-US"/>
        </w:rPr>
        <w:t xml:space="preserve"> № 1</w:t>
      </w:r>
    </w:p>
    <w:p>
      <w:pPr>
        <w:pStyle w:val="Normal"/>
        <w:jc w:val="right"/>
        <w:rPr>
          <w:rFonts w:ascii="Liberation Serif" w:hAnsi="Liberation Serif"/>
          <w:sz w:val="24"/>
          <w:szCs w:val="24"/>
        </w:rPr>
      </w:pPr>
      <w:r>
        <w:rPr>
          <w:rFonts w:eastAsia="Calibri" w:cs="Times New Roman" w:ascii="Liberation Serif" w:hAnsi="Liberation Serif" w:eastAsiaTheme="minorHAnsi"/>
          <w:sz w:val="24"/>
          <w:szCs w:val="24"/>
          <w:lang w:eastAsia="en-US"/>
        </w:rPr>
        <w:t xml:space="preserve">к </w:t>
      </w:r>
      <w:r>
        <w:rPr>
          <w:rFonts w:eastAsia="Calibri" w:cs="Times New Roman" w:ascii="Liberation Serif" w:hAnsi="Liberation Serif" w:eastAsiaTheme="minorHAnsi"/>
          <w:sz w:val="24"/>
          <w:szCs w:val="24"/>
          <w:lang w:val="ru-RU" w:eastAsia="en-US"/>
        </w:rPr>
        <w:t>бюджетному прогнозу</w:t>
      </w:r>
    </w:p>
    <w:p>
      <w:pPr>
        <w:pStyle w:val="Normal"/>
        <w:rPr>
          <w:rFonts w:ascii="Liberation Serif" w:hAnsi="Liberation Serif" w:cs="Times New Roman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</w:r>
    </w:p>
    <w:p>
      <w:pPr>
        <w:pStyle w:val="Normal"/>
        <w:rPr>
          <w:rFonts w:ascii="Liberation Serif" w:hAnsi="Liberation Serif" w:cs="Times New Roman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</w:r>
    </w:p>
    <w:p>
      <w:pPr>
        <w:pStyle w:val="Normal"/>
        <w:jc w:val="center"/>
        <w:rPr>
          <w:rFonts w:ascii="Liberation Serif" w:hAnsi="Liberation Serif"/>
          <w:sz w:val="24"/>
          <w:szCs w:val="24"/>
        </w:rPr>
      </w:pPr>
      <w:r>
        <w:rPr>
          <w:rFonts w:eastAsia="Calibri" w:cs="Times New Roman" w:ascii="Liberation Serif" w:hAnsi="Liberation Serif" w:eastAsiaTheme="minorHAnsi"/>
          <w:sz w:val="24"/>
          <w:szCs w:val="24"/>
          <w:lang w:eastAsia="en-US"/>
        </w:rPr>
        <w:t>ПРОГНОЗ</w:t>
      </w:r>
    </w:p>
    <w:p>
      <w:pPr>
        <w:pStyle w:val="Normal"/>
        <w:jc w:val="center"/>
        <w:rPr>
          <w:rFonts w:ascii="Liberation Serif" w:hAnsi="Liberation Serif"/>
          <w:sz w:val="24"/>
          <w:szCs w:val="24"/>
        </w:rPr>
      </w:pPr>
      <w:r>
        <w:rPr>
          <w:rFonts w:eastAsia="Calibri" w:cs="Times New Roman" w:ascii="Liberation Serif" w:hAnsi="Liberation Serif" w:eastAsiaTheme="minorHAnsi"/>
          <w:sz w:val="24"/>
          <w:szCs w:val="24"/>
          <w:lang w:eastAsia="en-US"/>
        </w:rPr>
        <w:t>ОСНОВНЫХ ХАРАКТЕРИСТИК БЮДЖЕТА</w:t>
      </w:r>
    </w:p>
    <w:p>
      <w:pPr>
        <w:pStyle w:val="Normal"/>
        <w:jc w:val="center"/>
        <w:rPr>
          <w:rFonts w:ascii="Liberation Serif" w:hAnsi="Liberation Serif"/>
          <w:sz w:val="24"/>
          <w:szCs w:val="24"/>
        </w:rPr>
      </w:pPr>
      <w:r>
        <w:rPr>
          <w:rFonts w:eastAsia="Calibri" w:cs="Times New Roman" w:ascii="Liberation Serif" w:hAnsi="Liberation Serif" w:eastAsiaTheme="minorHAnsi"/>
          <w:sz w:val="24"/>
          <w:szCs w:val="24"/>
          <w:lang w:eastAsia="en-US"/>
        </w:rPr>
        <w:t>ТУГУЛЫМСКОГО МУНИЦИПАЛЬНОГО ОКРУГА СВЕРДЛОВСКОЙ ОБЛАСТИ</w:t>
      </w:r>
    </w:p>
    <w:p>
      <w:pPr>
        <w:pStyle w:val="Normal"/>
        <w:numPr>
          <w:ilvl w:val="0"/>
          <w:numId w:val="0"/>
        </w:numPr>
        <w:ind w:hanging="0" w:left="0"/>
        <w:jc w:val="both"/>
        <w:outlineLvl w:val="0"/>
        <w:rPr>
          <w:rFonts w:ascii="Liberation Serif" w:hAnsi="Liberation Serif" w:eastAsia="Calibri" w:cs="Times New Roman" w:eastAsiaTheme="minorHAnsi"/>
          <w:sz w:val="24"/>
          <w:szCs w:val="24"/>
          <w:lang w:eastAsia="en-US"/>
        </w:rPr>
      </w:pPr>
      <w:r>
        <w:rPr>
          <w:rFonts w:eastAsia="Calibri" w:cs="Times New Roman" w:eastAsiaTheme="minorHAnsi" w:ascii="Liberation Serif" w:hAnsi="Liberation Serif"/>
          <w:sz w:val="24"/>
          <w:szCs w:val="24"/>
          <w:lang w:eastAsia="en-US"/>
        </w:rPr>
      </w:r>
    </w:p>
    <w:p>
      <w:pPr>
        <w:pStyle w:val="Normal"/>
        <w:jc w:val="right"/>
        <w:rPr>
          <w:rFonts w:ascii="Liberation Serif" w:hAnsi="Liberation Serif"/>
          <w:sz w:val="24"/>
          <w:szCs w:val="24"/>
        </w:rPr>
      </w:pPr>
      <w:r>
        <w:rPr>
          <w:rFonts w:eastAsia="Calibri" w:cs="Times New Roman" w:ascii="Liberation Serif" w:hAnsi="Liberation Serif" w:eastAsiaTheme="minorHAnsi"/>
          <w:sz w:val="24"/>
          <w:szCs w:val="24"/>
          <w:lang w:eastAsia="en-US"/>
        </w:rPr>
        <w:t>(тыс. рублей)</w:t>
      </w:r>
    </w:p>
    <w:p>
      <w:pPr>
        <w:pStyle w:val="Normal"/>
        <w:tabs>
          <w:tab w:val="clear" w:pos="708"/>
          <w:tab w:val="left" w:pos="1275" w:leader="none"/>
        </w:tabs>
        <w:rPr>
          <w:rFonts w:ascii="Liberation Serif" w:hAnsi="Liberation Serif"/>
          <w:sz w:val="24"/>
          <w:szCs w:val="24"/>
        </w:rPr>
      </w:pPr>
      <w:r>
        <w:rPr>
          <w:rFonts w:eastAsia="Calibri" w:cs="Times New Roman" w:ascii="Liberation Serif" w:hAnsi="Liberation Serif" w:eastAsiaTheme="minorHAnsi"/>
          <w:sz w:val="24"/>
          <w:szCs w:val="24"/>
          <w:lang w:eastAsia="en-US"/>
        </w:rPr>
        <w:tab/>
      </w:r>
    </w:p>
    <w:tbl>
      <w:tblPr>
        <w:tblStyle w:val="3"/>
        <w:tblW w:w="14745" w:type="dxa"/>
        <w:jc w:val="left"/>
        <w:tblInd w:w="2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835"/>
        <w:gridCol w:w="2126"/>
        <w:gridCol w:w="1985"/>
        <w:gridCol w:w="2125"/>
        <w:gridCol w:w="2126"/>
        <w:gridCol w:w="1843"/>
        <w:gridCol w:w="1705"/>
      </w:tblGrid>
      <w:tr>
        <w:trPr/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uppressAutoHyphens w:val="true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</w:rPr>
              <w:t>Показатель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uppressAutoHyphens w:val="true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</w:rPr>
              <w:t>2026 год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uppressAutoHyphens w:val="true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</w:rPr>
              <w:t>2027 год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uppressAutoHyphens w:val="true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</w:rPr>
              <w:t>2028 год</w:t>
            </w:r>
          </w:p>
          <w:p>
            <w:pPr>
              <w:pStyle w:val="ConsPlusNormal"/>
              <w:suppressAutoHyphens w:val="true"/>
              <w:spacing w:before="0"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uppressAutoHyphens w:val="true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</w:rPr>
              <w:t>2029 год</w:t>
            </w:r>
          </w:p>
          <w:p>
            <w:pPr>
              <w:pStyle w:val="ConsPlusNormal"/>
              <w:suppressAutoHyphens w:val="true"/>
              <w:spacing w:before="0"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uppressAutoHyphens w:val="true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</w:rPr>
              <w:t>2030 год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uppressAutoHyphens w:val="true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</w:rPr>
              <w:t>2031 год</w:t>
            </w:r>
          </w:p>
        </w:tc>
      </w:tr>
      <w:tr>
        <w:trPr/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uppressAutoHyphens w:val="true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</w:rPr>
              <w:t>Общий объем доходов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uppressAutoHyphens w:val="true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</w:rPr>
              <w:t>1966060,6</w:t>
            </w:r>
          </w:p>
        </w:tc>
        <w:tc>
          <w:tcPr>
            <w:tcW w:w="19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kern w:val="0"/>
                <w:sz w:val="24"/>
                <w:szCs w:val="24"/>
              </w:rPr>
              <w:t>2022185,1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kern w:val="0"/>
                <w:sz w:val="24"/>
                <w:szCs w:val="24"/>
              </w:rPr>
              <w:t xml:space="preserve">    </w:t>
            </w:r>
            <w:r>
              <w:rPr>
                <w:rFonts w:cs="Times New Roman" w:ascii="Liberation Serif" w:hAnsi="Liberation Serif"/>
                <w:bCs/>
                <w:kern w:val="0"/>
                <w:sz w:val="24"/>
                <w:szCs w:val="24"/>
              </w:rPr>
              <w:t>2278907,9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kern w:val="0"/>
                <w:sz w:val="24"/>
                <w:szCs w:val="24"/>
              </w:rPr>
              <w:t xml:space="preserve">    </w:t>
            </w:r>
            <w:r>
              <w:rPr>
                <w:rFonts w:cs="Times New Roman" w:ascii="Liberation Serif" w:hAnsi="Liberation Serif"/>
                <w:bCs/>
                <w:kern w:val="0"/>
                <w:sz w:val="24"/>
                <w:szCs w:val="24"/>
              </w:rPr>
              <w:t>1958733,9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uppressAutoHyphens w:val="true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</w:rPr>
              <w:t>2022115,1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uppressAutoHyphens w:val="true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</w:rPr>
              <w:t>2082471,3</w:t>
            </w:r>
          </w:p>
        </w:tc>
      </w:tr>
      <w:tr>
        <w:trPr/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uppressAutoHyphens w:val="true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</w:rPr>
              <w:t>Общий объем расходов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uppressAutoHyphens w:val="true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</w:rPr>
              <w:t>1980853,5</w:t>
            </w:r>
          </w:p>
        </w:tc>
        <w:tc>
          <w:tcPr>
            <w:tcW w:w="19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kern w:val="0"/>
                <w:sz w:val="24"/>
                <w:szCs w:val="24"/>
              </w:rPr>
              <w:t>2022185,1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kern w:val="0"/>
                <w:sz w:val="24"/>
                <w:szCs w:val="24"/>
              </w:rPr>
              <w:t xml:space="preserve">    </w:t>
            </w:r>
            <w:r>
              <w:rPr>
                <w:rFonts w:cs="Times New Roman" w:ascii="Liberation Serif" w:hAnsi="Liberation Serif"/>
                <w:bCs/>
                <w:kern w:val="0"/>
                <w:sz w:val="24"/>
                <w:szCs w:val="24"/>
              </w:rPr>
              <w:t>2278907,9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kern w:val="0"/>
                <w:sz w:val="24"/>
                <w:szCs w:val="24"/>
              </w:rPr>
              <w:t xml:space="preserve">    </w:t>
            </w:r>
            <w:r>
              <w:rPr>
                <w:rFonts w:cs="Times New Roman" w:ascii="Liberation Serif" w:hAnsi="Liberation Serif"/>
                <w:bCs/>
                <w:kern w:val="0"/>
                <w:sz w:val="24"/>
                <w:szCs w:val="24"/>
              </w:rPr>
              <w:t>1958733,9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uppressAutoHyphens w:val="true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</w:rPr>
              <w:t>2022115,1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uppressAutoHyphens w:val="true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</w:rPr>
              <w:t>2082471,3</w:t>
            </w:r>
          </w:p>
        </w:tc>
      </w:tr>
      <w:tr>
        <w:trPr/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uppressAutoHyphens w:val="true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</w:rPr>
              <w:t>Дефицит/профицит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uppressAutoHyphens w:val="true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</w:rPr>
              <w:t>-14792,9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uppressAutoHyphens w:val="true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</w:rPr>
              <w:t>0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uppressAutoHyphens w:val="true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uppressAutoHyphens w:val="true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uppressAutoHyphens w:val="true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</w:rPr>
              <w:t>0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uppressAutoHyphens w:val="true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</w:rPr>
              <w:t>0</w:t>
            </w:r>
          </w:p>
        </w:tc>
      </w:tr>
      <w:tr>
        <w:trPr/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uppressAutoHyphens w:val="true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</w:rPr>
              <w:t>Муниципальный долг Тугулымского муниципального округа Свердловской области на первое января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uppressAutoHyphens w:val="true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uppressAutoHyphens w:val="true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</w:rPr>
              <w:t>0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</w:rPr>
              <w:t>0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</w:rPr>
              <w:t>0</w:t>
            </w:r>
          </w:p>
        </w:tc>
      </w:tr>
    </w:tbl>
    <w:p>
      <w:pPr>
        <w:pStyle w:val="Normal"/>
        <w:tabs>
          <w:tab w:val="clear" w:pos="708"/>
          <w:tab w:val="left" w:pos="1275" w:leader="none"/>
        </w:tabs>
        <w:rPr>
          <w:rFonts w:ascii="Liberation Serif" w:hAnsi="Liberation Serif" w:eastAsia="Calibri" w:cs="Times New Roman" w:eastAsiaTheme="minorHAnsi"/>
          <w:sz w:val="24"/>
          <w:szCs w:val="24"/>
          <w:lang w:eastAsia="en-US"/>
        </w:rPr>
      </w:pPr>
      <w:r>
        <w:rPr>
          <w:rFonts w:eastAsia="Calibri" w:cs="Times New Roman" w:eastAsiaTheme="minorHAnsi" w:ascii="Liberation Serif" w:hAnsi="Liberation Serif"/>
          <w:sz w:val="24"/>
          <w:szCs w:val="24"/>
          <w:lang w:eastAsia="en-US"/>
        </w:rPr>
      </w:r>
    </w:p>
    <w:p>
      <w:pPr>
        <w:pStyle w:val="Normal"/>
        <w:jc w:val="right"/>
        <w:rPr>
          <w:rFonts w:ascii="Liberation Serif" w:hAnsi="Liberation Serif" w:eastAsia="Calibri" w:cs="Times New Roman" w:eastAsiaTheme="minorHAnsi"/>
          <w:sz w:val="24"/>
          <w:szCs w:val="24"/>
          <w:lang w:eastAsia="en-US"/>
        </w:rPr>
      </w:pPr>
      <w:r>
        <w:rPr>
          <w:rFonts w:eastAsia="Calibri" w:cs="Times New Roman" w:eastAsiaTheme="minorHAnsi" w:ascii="Liberation Serif" w:hAnsi="Liberation Serif"/>
          <w:sz w:val="24"/>
          <w:szCs w:val="24"/>
          <w:lang w:eastAsia="en-US"/>
        </w:rPr>
      </w:r>
    </w:p>
    <w:p>
      <w:pPr>
        <w:pStyle w:val="Normal"/>
        <w:jc w:val="right"/>
        <w:rPr>
          <w:rFonts w:ascii="Liberation Serif" w:hAnsi="Liberation Serif" w:eastAsia="Calibri" w:cs="Times New Roman" w:eastAsiaTheme="minorHAnsi"/>
          <w:sz w:val="24"/>
          <w:szCs w:val="24"/>
          <w:lang w:eastAsia="en-US"/>
        </w:rPr>
      </w:pPr>
      <w:r>
        <w:rPr>
          <w:rFonts w:eastAsia="Calibri" w:cs="Times New Roman" w:eastAsiaTheme="minorHAnsi" w:ascii="Liberation Serif" w:hAnsi="Liberation Serif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ind w:hanging="0" w:left="0"/>
        <w:jc w:val="both"/>
        <w:outlineLvl w:val="0"/>
        <w:rPr>
          <w:rFonts w:ascii="Liberation Serif" w:hAnsi="Liberation Serif" w:eastAsia="Calibri" w:cs="Times New Roman" w:eastAsiaTheme="minorHAnsi"/>
          <w:sz w:val="24"/>
          <w:szCs w:val="24"/>
          <w:lang w:eastAsia="en-US"/>
        </w:rPr>
      </w:pPr>
      <w:r>
        <w:rPr>
          <w:rFonts w:eastAsia="Calibri" w:cs="Times New Roman" w:eastAsiaTheme="minorHAnsi" w:ascii="Liberation Serif" w:hAnsi="Liberation Serif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ind w:hanging="0" w:left="0"/>
        <w:jc w:val="both"/>
        <w:outlineLvl w:val="0"/>
        <w:rPr>
          <w:rFonts w:ascii="Liberation Serif" w:hAnsi="Liberation Serif" w:eastAsia="Calibri" w:cs="Times New Roman" w:eastAsiaTheme="minorHAnsi"/>
          <w:sz w:val="24"/>
          <w:szCs w:val="24"/>
          <w:lang w:eastAsia="en-US"/>
        </w:rPr>
      </w:pPr>
      <w:r>
        <w:rPr>
          <w:rFonts w:eastAsia="Calibri" w:cs="Times New Roman" w:eastAsiaTheme="minorHAnsi" w:ascii="Liberation Serif" w:hAnsi="Liberation Serif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ind w:hanging="0" w:left="0"/>
        <w:jc w:val="both"/>
        <w:outlineLvl w:val="0"/>
        <w:rPr>
          <w:rFonts w:ascii="Liberation Serif" w:hAnsi="Liberation Serif" w:eastAsia="Calibri" w:cs="Times New Roman" w:eastAsiaTheme="minorHAnsi"/>
          <w:sz w:val="24"/>
          <w:szCs w:val="24"/>
          <w:lang w:eastAsia="en-US"/>
        </w:rPr>
      </w:pPr>
      <w:r>
        <w:rPr>
          <w:rFonts w:eastAsia="Calibri" w:cs="Times New Roman" w:eastAsiaTheme="minorHAnsi" w:ascii="Liberation Serif" w:hAnsi="Liberation Serif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ind w:hanging="0" w:left="0"/>
        <w:jc w:val="both"/>
        <w:outlineLvl w:val="0"/>
        <w:rPr>
          <w:rFonts w:ascii="Liberation Serif" w:hAnsi="Liberation Serif" w:eastAsia="Calibri" w:cs="Times New Roman" w:eastAsiaTheme="minorHAnsi"/>
          <w:sz w:val="24"/>
          <w:szCs w:val="24"/>
          <w:lang w:eastAsia="en-US"/>
        </w:rPr>
      </w:pPr>
      <w:r>
        <w:rPr>
          <w:rFonts w:eastAsia="Calibri" w:cs="Times New Roman" w:eastAsiaTheme="minorHAnsi" w:ascii="Liberation Serif" w:hAnsi="Liberation Serif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ind w:hanging="0" w:left="0"/>
        <w:jc w:val="both"/>
        <w:outlineLvl w:val="0"/>
        <w:rPr>
          <w:rFonts w:ascii="Liberation Serif" w:hAnsi="Liberation Serif" w:eastAsia="Calibri" w:cs="Times New Roman" w:eastAsiaTheme="minorHAnsi"/>
          <w:sz w:val="24"/>
          <w:szCs w:val="24"/>
          <w:lang w:eastAsia="en-US"/>
        </w:rPr>
      </w:pPr>
      <w:r>
        <w:rPr>
          <w:rFonts w:eastAsia="Calibri" w:cs="Times New Roman" w:eastAsiaTheme="minorHAnsi" w:ascii="Liberation Serif" w:hAnsi="Liberation Serif"/>
          <w:sz w:val="24"/>
          <w:szCs w:val="24"/>
          <w:lang w:eastAsia="en-US"/>
        </w:rPr>
      </w:r>
      <w:bookmarkStart w:id="0" w:name="_GoBack"/>
      <w:bookmarkStart w:id="1" w:name="_GoBack"/>
      <w:bookmarkEnd w:id="1"/>
    </w:p>
    <w:p>
      <w:pPr>
        <w:pStyle w:val="Normal"/>
        <w:numPr>
          <w:ilvl w:val="0"/>
          <w:numId w:val="0"/>
        </w:numPr>
        <w:ind w:hanging="0" w:left="0"/>
        <w:jc w:val="right"/>
        <w:outlineLvl w:val="0"/>
        <w:rPr>
          <w:rFonts w:ascii="Liberation Serif" w:hAnsi="Liberation Serif" w:eastAsia="Calibri" w:cs="Times New Roman" w:eastAsiaTheme="minorHAnsi"/>
          <w:sz w:val="24"/>
          <w:szCs w:val="24"/>
          <w:lang w:val="ru-RU" w:eastAsia="en-US"/>
        </w:rPr>
      </w:pPr>
      <w:r>
        <w:rPr>
          <w:rFonts w:eastAsia="Calibri" w:cs="Times New Roman" w:eastAsiaTheme="minorHAnsi" w:ascii="Liberation Serif" w:hAnsi="Liberation Serif"/>
          <w:sz w:val="24"/>
          <w:szCs w:val="24"/>
          <w:lang w:val="ru-RU" w:eastAsia="en-US"/>
        </w:rPr>
      </w:r>
    </w:p>
    <w:p>
      <w:pPr>
        <w:pStyle w:val="Normal"/>
        <w:numPr>
          <w:ilvl w:val="0"/>
          <w:numId w:val="0"/>
        </w:numPr>
        <w:ind w:hanging="0" w:left="0"/>
        <w:jc w:val="right"/>
        <w:outlineLvl w:val="0"/>
        <w:rPr>
          <w:rFonts w:ascii="Liberation Serif" w:hAnsi="Liberation Serif"/>
          <w:sz w:val="24"/>
          <w:szCs w:val="24"/>
        </w:rPr>
      </w:pPr>
      <w:r>
        <w:rPr>
          <w:rFonts w:eastAsia="Calibri" w:cs="Times New Roman" w:ascii="Liberation Serif" w:hAnsi="Liberation Serif" w:eastAsiaTheme="minorHAnsi"/>
          <w:sz w:val="24"/>
          <w:szCs w:val="24"/>
          <w:lang w:eastAsia="en-US"/>
        </w:rPr>
        <w:t>Приложение</w:t>
      </w:r>
      <w:r>
        <w:rPr>
          <w:rFonts w:eastAsia="Calibri" w:cs="Times New Roman" w:ascii="Liberation Serif" w:hAnsi="Liberation Serif" w:eastAsiaTheme="minorHAnsi"/>
          <w:sz w:val="24"/>
          <w:szCs w:val="24"/>
          <w:lang w:val="ru-RU" w:eastAsia="en-US"/>
        </w:rPr>
        <w:t xml:space="preserve"> № 2</w:t>
      </w:r>
    </w:p>
    <w:p>
      <w:pPr>
        <w:pStyle w:val="Normal"/>
        <w:jc w:val="right"/>
        <w:rPr>
          <w:rFonts w:ascii="Liberation Serif" w:hAnsi="Liberation Serif"/>
          <w:sz w:val="24"/>
          <w:szCs w:val="24"/>
        </w:rPr>
      </w:pPr>
      <w:r>
        <w:rPr>
          <w:rFonts w:eastAsia="Calibri" w:cs="Times New Roman" w:ascii="Liberation Serif" w:hAnsi="Liberation Serif" w:eastAsiaTheme="minorHAnsi"/>
          <w:sz w:val="24"/>
          <w:szCs w:val="24"/>
          <w:lang w:val="ru-RU" w:eastAsia="en-US"/>
        </w:rPr>
        <w:t>к бюджетному прогнозу</w:t>
      </w:r>
    </w:p>
    <w:p>
      <w:pPr>
        <w:pStyle w:val="Normal"/>
        <w:rPr>
          <w:rFonts w:ascii="Liberation Serif" w:hAnsi="Liberation Serif" w:cs="Times New Roman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</w:r>
    </w:p>
    <w:p>
      <w:pPr>
        <w:pStyle w:val="Normal"/>
        <w:numPr>
          <w:ilvl w:val="0"/>
          <w:numId w:val="0"/>
        </w:numPr>
        <w:ind w:hanging="0" w:left="0"/>
        <w:jc w:val="right"/>
        <w:outlineLvl w:val="0"/>
        <w:rPr>
          <w:rFonts w:ascii="Liberation Serif" w:hAnsi="Liberation Serif" w:eastAsia="Calibri" w:cs="Times New Roman" w:eastAsiaTheme="minorHAnsi"/>
          <w:sz w:val="24"/>
          <w:szCs w:val="24"/>
          <w:lang w:eastAsia="en-US"/>
        </w:rPr>
      </w:pPr>
      <w:r>
        <w:rPr>
          <w:rFonts w:eastAsia="Calibri" w:cs="Times New Roman" w:eastAsiaTheme="minorHAnsi" w:ascii="Liberation Serif" w:hAnsi="Liberation Serif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ind w:hanging="0" w:left="0"/>
        <w:jc w:val="both"/>
        <w:outlineLvl w:val="0"/>
        <w:rPr>
          <w:rFonts w:ascii="Liberation Serif" w:hAnsi="Liberation Serif" w:eastAsia="Calibri" w:cs="Times New Roman" w:eastAsiaTheme="minorHAnsi"/>
          <w:sz w:val="24"/>
          <w:szCs w:val="24"/>
          <w:lang w:eastAsia="en-US"/>
        </w:rPr>
      </w:pPr>
      <w:r>
        <w:rPr>
          <w:rFonts w:eastAsia="Calibri" w:cs="Times New Roman" w:eastAsiaTheme="minorHAnsi" w:ascii="Liberation Serif" w:hAnsi="Liberation Serif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ind w:hanging="0" w:left="0"/>
        <w:jc w:val="both"/>
        <w:outlineLvl w:val="0"/>
        <w:rPr>
          <w:rFonts w:ascii="Liberation Serif" w:hAnsi="Liberation Serif" w:eastAsia="Calibri" w:cs="Times New Roman" w:eastAsiaTheme="minorHAnsi"/>
          <w:sz w:val="24"/>
          <w:szCs w:val="24"/>
          <w:lang w:eastAsia="en-US"/>
        </w:rPr>
      </w:pPr>
      <w:r>
        <w:rPr>
          <w:rFonts w:eastAsia="Calibri" w:cs="Times New Roman" w:eastAsiaTheme="minorHAnsi" w:ascii="Liberation Serif" w:hAnsi="Liberation Serif"/>
          <w:sz w:val="24"/>
          <w:szCs w:val="24"/>
          <w:lang w:eastAsia="en-US"/>
        </w:rPr>
      </w:r>
    </w:p>
    <w:p>
      <w:pPr>
        <w:pStyle w:val="Normal"/>
        <w:jc w:val="both"/>
        <w:rPr>
          <w:rFonts w:ascii="Liberation Serif" w:hAnsi="Liberation Serif" w:eastAsia="Calibri" w:cs="Times New Roman" w:eastAsiaTheme="minorHAnsi"/>
          <w:sz w:val="24"/>
          <w:szCs w:val="24"/>
          <w:lang w:eastAsia="en-US"/>
        </w:rPr>
      </w:pPr>
      <w:r>
        <w:rPr>
          <w:rFonts w:eastAsia="Calibri" w:cs="Times New Roman" w:eastAsiaTheme="minorHAnsi" w:ascii="Liberation Serif" w:hAnsi="Liberation Serif"/>
          <w:sz w:val="24"/>
          <w:szCs w:val="24"/>
          <w:lang w:eastAsia="en-US"/>
        </w:rPr>
      </w:r>
    </w:p>
    <w:p>
      <w:pPr>
        <w:pStyle w:val="Normal"/>
        <w:jc w:val="center"/>
        <w:rPr>
          <w:rFonts w:ascii="Liberation Serif" w:hAnsi="Liberation Serif"/>
          <w:sz w:val="24"/>
          <w:szCs w:val="24"/>
        </w:rPr>
      </w:pPr>
      <w:r>
        <w:rPr>
          <w:rFonts w:eastAsia="Calibri" w:cs="Times New Roman" w:ascii="Liberation Serif" w:hAnsi="Liberation Serif" w:eastAsiaTheme="minorHAnsi"/>
          <w:sz w:val="24"/>
          <w:szCs w:val="24"/>
          <w:lang w:eastAsia="en-US"/>
        </w:rPr>
        <w:t>ПОКАЗАТЕЛИ</w:t>
      </w:r>
    </w:p>
    <w:p>
      <w:pPr>
        <w:pStyle w:val="Normal"/>
        <w:jc w:val="center"/>
        <w:rPr>
          <w:rFonts w:ascii="Liberation Serif" w:hAnsi="Liberation Serif"/>
          <w:sz w:val="24"/>
          <w:szCs w:val="24"/>
        </w:rPr>
      </w:pPr>
      <w:r>
        <w:rPr>
          <w:rFonts w:eastAsia="Calibri" w:cs="Times New Roman" w:ascii="Liberation Serif" w:hAnsi="Liberation Serif" w:eastAsiaTheme="minorHAnsi"/>
          <w:sz w:val="24"/>
          <w:szCs w:val="24"/>
          <w:lang w:eastAsia="en-US"/>
        </w:rPr>
        <w:t>ФИНАНСОВОГО ОБЕСПЕЧЕНИЯ МУНИЦИПАЛЬНЫХ ПРОГРАММ</w:t>
      </w:r>
    </w:p>
    <w:p>
      <w:pPr>
        <w:pStyle w:val="Normal"/>
        <w:jc w:val="center"/>
        <w:rPr>
          <w:rFonts w:ascii="Liberation Serif" w:hAnsi="Liberation Serif"/>
          <w:sz w:val="24"/>
          <w:szCs w:val="24"/>
        </w:rPr>
      </w:pPr>
      <w:r>
        <w:rPr>
          <w:rFonts w:eastAsia="Calibri" w:cs="Times New Roman" w:ascii="Liberation Serif" w:hAnsi="Liberation Serif" w:eastAsiaTheme="minorHAnsi"/>
          <w:sz w:val="24"/>
          <w:szCs w:val="24"/>
          <w:lang w:eastAsia="en-US"/>
        </w:rPr>
        <w:t>ТУГУЛЫМСКОГО МУНИЦИПАЛЬНОГО ОКРУГА СВЕРДЛОВС</w:t>
      </w:r>
      <w:r>
        <w:rPr>
          <w:rFonts w:eastAsia="Calibri" w:cs="Times New Roman" w:ascii="Liberation Serif" w:hAnsi="Liberation Serif" w:eastAsiaTheme="minorHAnsi"/>
          <w:sz w:val="24"/>
          <w:szCs w:val="24"/>
          <w:lang w:val="ru-RU" w:eastAsia="en-US"/>
        </w:rPr>
        <w:t>К</w:t>
      </w:r>
      <w:r>
        <w:rPr>
          <w:rFonts w:eastAsia="Calibri" w:cs="Times New Roman" w:ascii="Liberation Serif" w:hAnsi="Liberation Serif" w:eastAsiaTheme="minorHAnsi"/>
          <w:sz w:val="24"/>
          <w:szCs w:val="24"/>
          <w:lang w:eastAsia="en-US"/>
        </w:rPr>
        <w:t>ОЙ ОБЛАСТИ</w:t>
      </w:r>
    </w:p>
    <w:p>
      <w:pPr>
        <w:pStyle w:val="Normal"/>
        <w:jc w:val="center"/>
        <w:rPr>
          <w:rFonts w:ascii="Liberation Serif" w:hAnsi="Liberation Serif"/>
          <w:sz w:val="24"/>
          <w:szCs w:val="24"/>
        </w:rPr>
      </w:pPr>
      <w:r>
        <w:rPr>
          <w:rFonts w:eastAsia="Calibri" w:cs="Times New Roman" w:ascii="Liberation Serif" w:hAnsi="Liberation Serif" w:eastAsiaTheme="minorHAnsi"/>
          <w:sz w:val="24"/>
          <w:szCs w:val="24"/>
          <w:lang w:eastAsia="en-US"/>
        </w:rPr>
        <w:t>НА ПЕРИОД ИХ ДЕЙСТВИЯ ЗА СЧЕТ СРЕДСТВ МЕСТНОГО БЮДЖЕТА</w:t>
      </w:r>
    </w:p>
    <w:p>
      <w:pPr>
        <w:pStyle w:val="Normal"/>
        <w:jc w:val="right"/>
        <w:rPr>
          <w:rFonts w:ascii="Liberation Serif" w:hAnsi="Liberation Serif" w:eastAsia="Calibri" w:cs="Times New Roman" w:eastAsiaTheme="minorHAnsi"/>
          <w:sz w:val="24"/>
          <w:szCs w:val="24"/>
          <w:lang w:eastAsia="en-US"/>
        </w:rPr>
      </w:pPr>
      <w:r>
        <w:rPr>
          <w:rFonts w:eastAsia="Calibri" w:cs="Times New Roman" w:eastAsiaTheme="minorHAnsi" w:ascii="Liberation Serif" w:hAnsi="Liberation Serif"/>
          <w:sz w:val="24"/>
          <w:szCs w:val="24"/>
          <w:lang w:eastAsia="en-US"/>
        </w:rPr>
      </w:r>
    </w:p>
    <w:p>
      <w:pPr>
        <w:pStyle w:val="Normal"/>
        <w:jc w:val="right"/>
        <w:rPr>
          <w:rFonts w:ascii="Liberation Serif" w:hAnsi="Liberation Serif"/>
          <w:sz w:val="24"/>
          <w:szCs w:val="24"/>
        </w:rPr>
      </w:pPr>
      <w:r>
        <w:rPr>
          <w:rFonts w:eastAsia="Calibri" w:cs="Times New Roman" w:ascii="Liberation Serif" w:hAnsi="Liberation Serif" w:eastAsiaTheme="minorHAnsi"/>
          <w:sz w:val="24"/>
          <w:szCs w:val="24"/>
          <w:lang w:eastAsia="en-US"/>
        </w:rPr>
        <w:t>(тыс. рублей)</w:t>
      </w:r>
    </w:p>
    <w:p>
      <w:pPr>
        <w:pStyle w:val="Normal"/>
        <w:jc w:val="right"/>
        <w:rPr>
          <w:rFonts w:ascii="Liberation Serif" w:hAnsi="Liberation Serif" w:eastAsia="Calibri" w:cs="Times New Roman" w:eastAsiaTheme="minorHAnsi"/>
          <w:sz w:val="24"/>
          <w:szCs w:val="24"/>
          <w:lang w:eastAsia="en-US"/>
        </w:rPr>
      </w:pPr>
      <w:r>
        <w:rPr>
          <w:rFonts w:eastAsia="Calibri" w:cs="Times New Roman" w:eastAsiaTheme="minorHAnsi" w:ascii="Liberation Serif" w:hAnsi="Liberation Serif"/>
          <w:sz w:val="24"/>
          <w:szCs w:val="24"/>
          <w:lang w:eastAsia="en-US"/>
        </w:rPr>
      </w:r>
    </w:p>
    <w:tbl>
      <w:tblPr>
        <w:tblStyle w:val="3"/>
        <w:tblW w:w="14790" w:type="dxa"/>
        <w:jc w:val="center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26"/>
        <w:gridCol w:w="5141"/>
        <w:gridCol w:w="1419"/>
        <w:gridCol w:w="1417"/>
        <w:gridCol w:w="1418"/>
        <w:gridCol w:w="1291"/>
        <w:gridCol w:w="1481"/>
        <w:gridCol w:w="1797"/>
      </w:tblGrid>
      <w:tr>
        <w:trPr/>
        <w:tc>
          <w:tcPr>
            <w:tcW w:w="8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N </w:t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п/п</w:t>
            </w:r>
          </w:p>
        </w:tc>
        <w:tc>
          <w:tcPr>
            <w:tcW w:w="51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Наименование муниципальной программы Тугулымского муниципального округа Свердловской области</w:t>
            </w:r>
          </w:p>
        </w:tc>
        <w:tc>
          <w:tcPr>
            <w:tcW w:w="882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Расходы местного бюджета на финансовое обеспечение реализации муниципальных программ</w:t>
            </w:r>
          </w:p>
        </w:tc>
      </w:tr>
      <w:tr>
        <w:trPr>
          <w:trHeight w:val="434" w:hRule="atLeast"/>
        </w:trPr>
        <w:tc>
          <w:tcPr>
            <w:tcW w:w="8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Liberation Serif" w:hAnsi="Liberation Serif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514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Liberation Serif" w:hAnsi="Liberation Serif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</w:rPr>
              <w:t>2026</w:t>
            </w: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</w:rPr>
              <w:t>202</w:t>
            </w:r>
            <w:r>
              <w:rPr>
                <w:rFonts w:cs="Times New Roman" w:ascii="Liberation Serif" w:hAnsi="Liberation Serif"/>
                <w:kern w:val="0"/>
                <w:sz w:val="24"/>
                <w:szCs w:val="24"/>
              </w:rPr>
              <w:t>7</w:t>
            </w: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</w:rPr>
              <w:t>202</w:t>
            </w:r>
            <w:r>
              <w:rPr>
                <w:rFonts w:cs="Times New Roman" w:ascii="Liberation Serif" w:hAnsi="Liberation Serif"/>
                <w:kern w:val="0"/>
                <w:sz w:val="24"/>
                <w:szCs w:val="24"/>
              </w:rPr>
              <w:t>8</w:t>
            </w: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</w:rPr>
              <w:t xml:space="preserve"> год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</w:rPr>
              <w:t>202</w:t>
            </w:r>
            <w:r>
              <w:rPr>
                <w:rFonts w:cs="Times New Roman" w:ascii="Liberation Serif" w:hAnsi="Liberation Serif"/>
                <w:kern w:val="0"/>
                <w:sz w:val="24"/>
                <w:szCs w:val="24"/>
              </w:rPr>
              <w:t>9</w:t>
            </w: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</w:rPr>
              <w:t xml:space="preserve"> год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</w:rPr>
              <w:t>2030</w:t>
            </w: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</w:rPr>
              <w:t xml:space="preserve"> год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</w:rPr>
              <w:t>20</w:t>
            </w:r>
            <w:r>
              <w:rPr>
                <w:rFonts w:cs="Times New Roman" w:ascii="Liberation Serif" w:hAnsi="Liberation Serif"/>
                <w:kern w:val="0"/>
                <w:sz w:val="24"/>
                <w:szCs w:val="24"/>
              </w:rPr>
              <w:t>31</w:t>
            </w: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</w:rPr>
              <w:t xml:space="preserve"> год</w:t>
            </w:r>
          </w:p>
        </w:tc>
      </w:tr>
      <w:tr>
        <w:trPr>
          <w:trHeight w:val="933" w:hRule="atLeast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1.</w:t>
            </w:r>
          </w:p>
        </w:tc>
        <w:tc>
          <w:tcPr>
            <w:tcW w:w="5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«Содействие развитию малого и среднего предпринимательства в Тугулымском муниципального округе до 2028 года»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1140,0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1135,0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1135,0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</w:tr>
      <w:tr>
        <w:trPr>
          <w:trHeight w:val="1164" w:hRule="atLeast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2.</w:t>
            </w:r>
          </w:p>
        </w:tc>
        <w:tc>
          <w:tcPr>
            <w:tcW w:w="5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cs="Times New Roman" w:ascii="Liberation Serif" w:hAnsi="Liberation Serif"/>
                <w:bCs/>
                <w:kern w:val="0"/>
                <w:sz w:val="24"/>
                <w:szCs w:val="24"/>
              </w:rPr>
              <w:t>«Защита населения и территории Тугулымского муниципального округа от чрезвычайных ситуаций и обеспечение пожарной и водной безопасности до 2028 года</w:t>
            </w:r>
            <w:r>
              <w:rPr>
                <w:rFonts w:cs="Times New Roman" w:ascii="Liberation Serif" w:hAnsi="Liberation Serif"/>
                <w:bCs/>
                <w:color w:val="000000"/>
                <w:kern w:val="0"/>
                <w:sz w:val="24"/>
                <w:szCs w:val="24"/>
              </w:rPr>
              <w:t>»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21341,3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150036,4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15842,9</w:t>
            </w:r>
          </w:p>
        </w:tc>
        <w:tc>
          <w:tcPr>
            <w:tcW w:w="129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</w:tr>
      <w:tr>
        <w:trPr/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3.</w:t>
            </w:r>
          </w:p>
        </w:tc>
        <w:tc>
          <w:tcPr>
            <w:tcW w:w="5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«Подготовка документов территориального планирования, градостроительного зонирования и документации по планировке территории до 2028 года»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700,0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3440,0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1400,0</w:t>
            </w:r>
          </w:p>
        </w:tc>
        <w:tc>
          <w:tcPr>
            <w:tcW w:w="129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</w:tr>
      <w:tr>
        <w:trPr/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4.</w:t>
            </w:r>
          </w:p>
        </w:tc>
        <w:tc>
          <w:tcPr>
            <w:tcW w:w="5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«Обеспечение общественной безопасности на территории Тугулымского муниципального округа до 2029 года»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207,0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766,0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774,0</w:t>
            </w:r>
          </w:p>
        </w:tc>
        <w:tc>
          <w:tcPr>
            <w:tcW w:w="129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774,0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</w:tr>
      <w:tr>
        <w:trPr/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5.</w:t>
            </w:r>
          </w:p>
        </w:tc>
        <w:tc>
          <w:tcPr>
            <w:tcW w:w="5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«Развитие системы образования Тугулымского муниципального округа до 2028 года»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1112693,4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1148242,7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1213084,1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6.</w:t>
            </w:r>
          </w:p>
        </w:tc>
        <w:tc>
          <w:tcPr>
            <w:tcW w:w="5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«Развитие культуры Тугулымского муниципального округа до 2029 года»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209810,0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217886,9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232139,4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155170,5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</w:tr>
      <w:tr>
        <w:trPr>
          <w:trHeight w:val="491" w:hRule="atLeast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7.</w:t>
            </w:r>
          </w:p>
        </w:tc>
        <w:tc>
          <w:tcPr>
            <w:tcW w:w="5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«Управление муниципальной собственностью Тугулымского муниципального округа с 2020 до 2028 года»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3766,5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2465,0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3965,0</w:t>
            </w:r>
          </w:p>
        </w:tc>
        <w:tc>
          <w:tcPr>
            <w:tcW w:w="129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8.</w:t>
            </w:r>
          </w:p>
        </w:tc>
        <w:tc>
          <w:tcPr>
            <w:tcW w:w="5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«Комплексное развитие сельских территорий Тугулымского муниципального округа до 2029 года»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1943,0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29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1943,0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</w:tr>
      <w:tr>
        <w:trPr/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9.</w:t>
            </w:r>
          </w:p>
        </w:tc>
        <w:tc>
          <w:tcPr>
            <w:tcW w:w="5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«Развитие физической культуры и спорта  в Тугулымском муниципального округе до 2029 года»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14227,4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9066,0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9378,0</w:t>
            </w:r>
          </w:p>
        </w:tc>
        <w:tc>
          <w:tcPr>
            <w:tcW w:w="129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10536,0</w:t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</w:tr>
      <w:tr>
        <w:trPr/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10.</w:t>
            </w:r>
          </w:p>
        </w:tc>
        <w:tc>
          <w:tcPr>
            <w:tcW w:w="5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«Управление муниципальными финансами Тугулымского муниципального округа до 2028 года»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37757,0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25473,8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23451,2</w:t>
            </w:r>
          </w:p>
        </w:tc>
        <w:tc>
          <w:tcPr>
            <w:tcW w:w="129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</w:tr>
      <w:tr>
        <w:trPr/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11.</w:t>
            </w:r>
          </w:p>
        </w:tc>
        <w:tc>
          <w:tcPr>
            <w:tcW w:w="5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«Повышение безопасности дорожного движения на территории Тугулымского муниципального округа» на 2021-2028 годы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643,0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1871,5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6871,5</w:t>
            </w:r>
          </w:p>
        </w:tc>
        <w:tc>
          <w:tcPr>
            <w:tcW w:w="129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</w:tr>
      <w:tr>
        <w:trPr/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12.</w:t>
            </w:r>
          </w:p>
        </w:tc>
        <w:tc>
          <w:tcPr>
            <w:tcW w:w="5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«Дополнительные меры  социальной поддержки населения Тугулымского муниципального округа до 2028 года»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1039,0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779,0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779,0</w:t>
            </w:r>
          </w:p>
        </w:tc>
        <w:tc>
          <w:tcPr>
            <w:tcW w:w="129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</w:tr>
      <w:tr>
        <w:trPr/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13.</w:t>
            </w:r>
          </w:p>
        </w:tc>
        <w:tc>
          <w:tcPr>
            <w:tcW w:w="5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«Комплексное благоустройство дворовых территорий и населенных пунктов в Тугулымском муниципальном округе» на 2021-2028  годы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11362,3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13456,6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6456,6</w:t>
            </w:r>
          </w:p>
        </w:tc>
        <w:tc>
          <w:tcPr>
            <w:tcW w:w="129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</w:tr>
      <w:tr>
        <w:trPr/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14.</w:t>
            </w:r>
          </w:p>
        </w:tc>
        <w:tc>
          <w:tcPr>
            <w:tcW w:w="5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«Реализация молодежной политики и патриотического воспитания граждан на территории Тугулымского муниципального округа на 2019-2028 годы»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760,0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921,1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1321,1</w:t>
            </w:r>
          </w:p>
        </w:tc>
        <w:tc>
          <w:tcPr>
            <w:tcW w:w="129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</w:tr>
      <w:tr>
        <w:trPr/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15.</w:t>
            </w:r>
          </w:p>
        </w:tc>
        <w:tc>
          <w:tcPr>
            <w:tcW w:w="5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«Формирование жилищного фонда для переселения граждан из жилых помещений, признанных непригодными для проживания и (или) с высоким уровнем износа" на 2023-2028 годы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12283,8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49600,0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1000,0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</w:tr>
      <w:tr>
        <w:trPr/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16.</w:t>
            </w:r>
          </w:p>
        </w:tc>
        <w:tc>
          <w:tcPr>
            <w:tcW w:w="5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cs="Times New Roman" w:ascii="Liberation Serif" w:hAnsi="Liberation Serif"/>
                <w:bCs/>
                <w:kern w:val="0"/>
                <w:sz w:val="24"/>
                <w:szCs w:val="24"/>
              </w:rPr>
              <w:t>«Профилактика экстремизма,</w:t>
            </w:r>
            <w:r>
              <w:rPr>
                <w:rFonts w:cs="Times New Roman" w:ascii="Liberation Serif" w:hAnsi="Liberation Serif"/>
                <w:bCs/>
                <w:color w:val="FF0000"/>
                <w:kern w:val="0"/>
                <w:sz w:val="24"/>
                <w:szCs w:val="24"/>
              </w:rPr>
              <w:t xml:space="preserve"> </w:t>
            </w:r>
            <w:r>
              <w:rPr>
                <w:rFonts w:cs="Times New Roman" w:ascii="Liberation Serif" w:hAnsi="Liberation Serif"/>
                <w:bCs/>
                <w:kern w:val="0"/>
                <w:sz w:val="24"/>
                <w:szCs w:val="24"/>
              </w:rPr>
              <w:t>терроризма и мобилизационная подготовка на территории Тугулымского муниципального округа» на 2024-2029 годы»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1045,0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1165,0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</w:tr>
      <w:tr>
        <w:trPr>
          <w:trHeight w:val="665" w:hRule="atLeast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17.</w:t>
            </w:r>
          </w:p>
        </w:tc>
        <w:tc>
          <w:tcPr>
            <w:tcW w:w="5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«Развитие дорожной сети Тугулымского муниципального округа» на 2021-2028 годы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151150,5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83117,5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83613,5</w:t>
            </w:r>
          </w:p>
        </w:tc>
        <w:tc>
          <w:tcPr>
            <w:tcW w:w="129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</w:tr>
      <w:tr>
        <w:trPr/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18.</w:t>
            </w:r>
          </w:p>
        </w:tc>
        <w:tc>
          <w:tcPr>
            <w:tcW w:w="5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«Развитие архивного дела на территории   Тугулымского муниципального округа на период с 2021 по 2028 годы»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575,0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590,0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606,0</w:t>
            </w:r>
          </w:p>
        </w:tc>
        <w:tc>
          <w:tcPr>
            <w:tcW w:w="129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</w:tr>
      <w:tr>
        <w:trPr/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19.</w:t>
            </w:r>
          </w:p>
        </w:tc>
        <w:tc>
          <w:tcPr>
            <w:tcW w:w="5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«Развитие жилищно-коммунального хозяйства и повышение энергетической эффективности в Тугулымском муниципальном округе» на 2021-2028 годы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40281,0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17166,5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14438,9</w:t>
            </w:r>
          </w:p>
        </w:tc>
        <w:tc>
          <w:tcPr>
            <w:tcW w:w="129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</w:tr>
      <w:tr>
        <w:trPr>
          <w:trHeight w:val="1232" w:hRule="atLeast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20.</w:t>
            </w:r>
          </w:p>
        </w:tc>
        <w:tc>
          <w:tcPr>
            <w:tcW w:w="5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cs="Times New Roman" w:ascii="Liberation Serif" w:hAnsi="Liberation Serif"/>
                <w:bCs/>
                <w:color w:val="000000"/>
                <w:kern w:val="0"/>
                <w:sz w:val="24"/>
                <w:szCs w:val="24"/>
              </w:rPr>
              <w:t>«Обеспечение рационального и безопасного природопользования на территории Тугулымского муниципального округа» на 2021-2028 годы</w:t>
            </w:r>
          </w:p>
          <w:p>
            <w:pPr>
              <w:pStyle w:val="Normal"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11895,2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8509,5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6509,5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</w:tr>
      <w:tr>
        <w:trPr/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21.</w:t>
            </w:r>
          </w:p>
        </w:tc>
        <w:tc>
          <w:tcPr>
            <w:tcW w:w="5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«Формирование современной городской среды» на 2023-2030 годы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1700,0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</w:tr>
      <w:tr>
        <w:trPr/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22.</w:t>
            </w:r>
          </w:p>
        </w:tc>
        <w:tc>
          <w:tcPr>
            <w:tcW w:w="5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«Профилактика заболеваний и формирование здорового образа жизни в  Тугулымском муниципальном округе на период до 2028 года»</w:t>
            </w:r>
          </w:p>
          <w:p>
            <w:pPr>
              <w:pStyle w:val="Normal"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492,5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497,5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497,5</w:t>
            </w:r>
          </w:p>
        </w:tc>
        <w:tc>
          <w:tcPr>
            <w:tcW w:w="129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</w:tr>
      <w:tr>
        <w:trPr/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23.</w:t>
            </w:r>
          </w:p>
        </w:tc>
        <w:tc>
          <w:tcPr>
            <w:tcW w:w="5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«Обеспечение эпизоотического и ветеринарно-санитарного благополучия Тугулымского муниципального округа» на 2021-2028 годы</w:t>
            </w:r>
          </w:p>
          <w:p>
            <w:pPr>
              <w:pStyle w:val="Normal"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754,2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754,2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754,2</w:t>
            </w:r>
          </w:p>
        </w:tc>
        <w:tc>
          <w:tcPr>
            <w:tcW w:w="129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</w:tr>
      <w:tr>
        <w:trPr/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24.</w:t>
            </w:r>
          </w:p>
        </w:tc>
        <w:tc>
          <w:tcPr>
            <w:tcW w:w="5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"Развитие муниципальной службы в Тугулымском муниципальном округе до 2031 года"</w:t>
            </w:r>
          </w:p>
          <w:p>
            <w:pPr>
              <w:pStyle w:val="Normal"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1499,5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1334,5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1364,5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1080,</w:t>
            </w: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1080,0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1080,0</w:t>
            </w:r>
          </w:p>
        </w:tc>
      </w:tr>
      <w:tr>
        <w:trPr/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5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ИТОГО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1636478,6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1605097,7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1626546,9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169503,5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1080,0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1080,0</w:t>
            </w:r>
          </w:p>
        </w:tc>
      </w:tr>
    </w:tbl>
    <w:p>
      <w:pPr>
        <w:pStyle w:val="Normal"/>
        <w:rPr>
          <w:rFonts w:ascii="Liberation Serif" w:hAnsi="Liberation Serif" w:eastAsia="Times New Roman" w:cs="Times New Roman"/>
          <w:sz w:val="24"/>
          <w:szCs w:val="24"/>
        </w:rPr>
      </w:pPr>
      <w:r>
        <w:rPr>
          <w:rFonts w:eastAsia="Times New Roman" w:cs="Times New Roman" w:ascii="Liberation Serif" w:hAnsi="Liberation Serif"/>
          <w:sz w:val="24"/>
          <w:szCs w:val="24"/>
        </w:rPr>
      </w:r>
    </w:p>
    <w:p>
      <w:pPr>
        <w:pStyle w:val="Normal"/>
        <w:tabs>
          <w:tab w:val="clear" w:pos="708"/>
          <w:tab w:val="left" w:pos="870" w:leader="none"/>
        </w:tabs>
        <w:rPr>
          <w:rFonts w:ascii="Liberation Serif" w:hAnsi="Liberation Serif" w:eastAsia="Calibri" w:cs="Times New Roman" w:eastAsiaTheme="minorHAnsi"/>
          <w:sz w:val="24"/>
          <w:szCs w:val="24"/>
          <w:lang w:eastAsia="en-US"/>
        </w:rPr>
      </w:pPr>
      <w:r>
        <w:rPr>
          <w:rFonts w:eastAsia="Calibri" w:cs="Times New Roman" w:eastAsiaTheme="minorHAnsi" w:ascii="Liberation Serif" w:hAnsi="Liberation Serif"/>
          <w:sz w:val="24"/>
          <w:szCs w:val="24"/>
          <w:lang w:eastAsia="en-US"/>
        </w:rPr>
      </w:r>
    </w:p>
    <w:p>
      <w:pPr>
        <w:pStyle w:val="Normal"/>
        <w:jc w:val="right"/>
        <w:rPr>
          <w:rFonts w:ascii="Liberation Serif" w:hAnsi="Liberation Serif" w:eastAsia="Calibri" w:cs="Times New Roman" w:eastAsiaTheme="minorHAnsi"/>
          <w:sz w:val="24"/>
          <w:szCs w:val="24"/>
          <w:lang w:eastAsia="en-US"/>
        </w:rPr>
      </w:pPr>
      <w:r>
        <w:rPr>
          <w:rFonts w:eastAsia="Calibri" w:cs="Times New Roman" w:eastAsiaTheme="minorHAnsi" w:ascii="Liberation Serif" w:hAnsi="Liberation Serif"/>
          <w:sz w:val="24"/>
          <w:szCs w:val="24"/>
          <w:lang w:eastAsia="en-US"/>
        </w:rPr>
      </w:r>
    </w:p>
    <w:p>
      <w:pPr>
        <w:pStyle w:val="Normal"/>
        <w:jc w:val="right"/>
        <w:rPr>
          <w:rFonts w:ascii="Times New Roman" w:hAnsi="Times New Roman" w:eastAsia="Calibri" w:cs="Times New Roman" w:eastAsiaTheme="minorHAnsi"/>
          <w:sz w:val="24"/>
          <w:szCs w:val="24"/>
          <w:lang w:eastAsia="en-US"/>
        </w:rPr>
      </w:pPr>
      <w:r>
        <w:rPr>
          <w:rFonts w:eastAsia="Calibri" w:cs="Times New Roman" w:eastAsiaTheme="minorHAnsi" w:ascii="Times New Roman" w:hAnsi="Times New Roman"/>
          <w:sz w:val="24"/>
          <w:szCs w:val="24"/>
          <w:lang w:eastAsia="en-US"/>
        </w:rPr>
      </w:r>
    </w:p>
    <w:p>
      <w:pPr>
        <w:pStyle w:val="Normal"/>
        <w:jc w:val="right"/>
        <w:rPr>
          <w:rFonts w:ascii="Times New Roman" w:hAnsi="Times New Roman" w:eastAsia="Calibri" w:cs="Times New Roman" w:eastAsiaTheme="minorHAnsi"/>
          <w:sz w:val="24"/>
          <w:szCs w:val="24"/>
          <w:lang w:eastAsia="en-US"/>
        </w:rPr>
      </w:pPr>
      <w:r>
        <w:rPr>
          <w:rFonts w:eastAsia="Calibri" w:cs="Times New Roman" w:eastAsiaTheme="minorHAnsi" w:ascii="Times New Roman" w:hAnsi="Times New Roman"/>
          <w:sz w:val="24"/>
          <w:szCs w:val="24"/>
          <w:lang w:eastAsia="en-US"/>
        </w:rPr>
      </w:r>
    </w:p>
    <w:p>
      <w:pPr>
        <w:pStyle w:val="Normal"/>
        <w:jc w:val="right"/>
        <w:rPr>
          <w:rFonts w:ascii="Times New Roman" w:hAnsi="Times New Roman" w:eastAsia="Calibri" w:cs="Times New Roman" w:eastAsiaTheme="minorHAnsi"/>
          <w:sz w:val="24"/>
          <w:szCs w:val="24"/>
          <w:lang w:eastAsia="en-US"/>
        </w:rPr>
      </w:pPr>
      <w:r>
        <w:rPr>
          <w:rFonts w:eastAsia="Calibri" w:cs="Times New Roman" w:eastAsiaTheme="minorHAnsi" w:ascii="Times New Roman" w:hAnsi="Times New Roman"/>
          <w:sz w:val="24"/>
          <w:szCs w:val="24"/>
          <w:lang w:eastAsia="en-US"/>
        </w:rPr>
      </w:r>
    </w:p>
    <w:sectPr>
      <w:type w:val="nextPage"/>
      <w:pgSz w:orient="landscape" w:w="16838" w:h="11906"/>
      <w:pgMar w:left="1134" w:right="854" w:gutter="0" w:header="0" w:top="851" w:footer="0" w:bottom="1701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Segoe UI">
    <w:charset w:val="01"/>
    <w:family w:val="swiss"/>
    <w:pitch w:val="variable"/>
  </w:font>
  <w:font w:name="Liberation Sans">
    <w:altName w:val="Arial"/>
    <w:charset w:val="01"/>
    <w:family w:val="swiss"/>
    <w:pitch w:val="variable"/>
  </w:font>
  <w:font w:name="Arial">
    <w:charset w:val="01"/>
    <w:family w:val="swiss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</w:compat>
  <w:themeFontLang w:val="ru-RU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lang w:val="ru-RU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0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index heading" w:uiPriority="99"/>
    <w:lsdException w:name="caption" w:uiPriority="35" w:qFormat="1"/>
    <w:lsdException w:name="table of figures" w:uiPriority="99"/>
    <w:lsdException w:name="envelope address" w:uiPriority="99"/>
    <w:lsdException w:name="envelope return" w:uiPriority="99"/>
    <w:lsdException w:name="footnote reference" w:uiPriority="99"/>
    <w:lsdException w:name="annotation reference" w:uiPriority="99"/>
    <w:lsdException w:name="line number" w:uiPriority="99"/>
    <w:lsdException w:name="page number" w:uiPriority="99"/>
    <w:lsdException w:name="endnote reference" w:uiPriority="99"/>
    <w:lsdException w:name="endnote text" w:uiPriority="99"/>
    <w:lsdException w:name="table of authorities" w:uiPriority="99"/>
    <w:lsdException w:name="macro" w:uiPriority="99"/>
    <w:lsdException w:name="toa heading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uiPriority="10" w:semiHidden="0" w:unhideWhenUsed="0" w:qFormat="1"/>
    <w:lsdException w:name="Closing" w:uiPriority="99"/>
    <w:lsdException w:name="Signature" w:uiPriority="99"/>
    <w:lsdException w:name="Default Paragraph Font" w:uiPriority="1" w:qFormat="1"/>
    <w:lsdException w:name="Body Text" w:uiPriority="99"/>
    <w:lsdException w:name="Body Text Indent" w:uiPriority="99"/>
    <w:lsdException w:name="List Continue" w:uiPriority="99"/>
    <w:lsdException w:name="List Continue 2" w:uiPriority="99"/>
    <w:lsdException w:name="List Continue 3" w:uiPriority="99"/>
    <w:lsdException w:name="List Continue 4" w:uiPriority="99"/>
    <w:lsdException w:name="List Continue 5" w:uiPriority="99"/>
    <w:lsdException w:name="Message Header" w:uiPriority="99"/>
    <w:lsdException w:name="Subtitle" w:uiPriority="11" w:semiHidden="0" w:unhideWhenUsed="0" w:qFormat="1"/>
    <w:lsdException w:name="Salutation" w:uiPriority="99"/>
    <w:lsdException w:name="Date" w:uiPriority="99"/>
    <w:lsdException w:name="Body Text First Indent" w:uiPriority="99"/>
    <w:lsdException w:name="Body Text First Indent 2" w:uiPriority="99"/>
    <w:lsdException w:name="Note Heading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22" w:semiHidden="0" w:unhideWhenUsed="0" w:qFormat="1"/>
    <w:lsdException w:name="Emphasis" w:uiPriority="20" w:semiHidden="0" w:unhideWhenUsed="0" w:qFormat="1"/>
    <w:lsdException w:name="Document Map" w:uiPriority="99"/>
    <w:lsdException w:name="Plain Text" w:uiPriority="99"/>
    <w:lsdException w:name="E-mail Signature" w:uiPriority="99"/>
    <w:lsdException w:name="Normal (Web)" w:uiPriority="99"/>
    <w:lsdException w:name="HTML Acronym" w:uiPriority="99"/>
    <w:lsdException w:name="HTML Address" w:uiPriority="99"/>
    <w:lsdException w:name="HTML Cite" w:uiPriority="99"/>
    <w:lsdException w:name="HTML Code" w:uiPriority="99"/>
    <w:lsdException w:name="HTML Definition" w:uiPriority="99"/>
    <w:lsdException w:name="HTML Keyboard" w:uiPriority="99"/>
    <w:lsdException w:name="HTML Preformatted" w:uiPriority="99"/>
    <w:lsdException w:name="HTML Sample" w:uiPriority="99"/>
    <w:lsdException w:name="HTML Typewriter" w:uiPriority="99"/>
    <w:lsdException w:name="HTML Variable" w:uiPriority="99"/>
    <w:lsdException w:name="Normal Table" w:uiPriority="99" w:qFormat="1"/>
    <w:lsdException w:name="annotation subject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uiPriority="99"/>
    <w:lsdException w:name="Table Grid" w:uiPriority="39" w:semiHidden="0" w:unhideWhenUsed="0"/>
    <w:lsdException w:name="Table Theme" w:uiPriority="99"/>
  </w:latentStyles>
  <w:style w:type="paragraph" w:styleId="Normal" w:default="1">
    <w:name w:val="Normal"/>
    <w:uiPriority w:val="0"/>
    <w:qFormat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2"/>
      <w:szCs w:val="22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BalloonText"/>
    <w:uiPriority w:val="99"/>
    <w:semiHidden/>
    <w:qFormat/>
    <w:rPr>
      <w:rFonts w:ascii="Segoe UI" w:hAnsi="Segoe UI" w:eastAsia="" w:cs="Segoe UI" w:eastAsiaTheme="minorEastAsia"/>
      <w:sz w:val="18"/>
      <w:szCs w:val="18"/>
      <w:lang w:eastAsia="ru-RU"/>
    </w:rPr>
  </w:style>
  <w:style w:type="character" w:styleId="Style15" w:customStyle="1">
    <w:name w:val="Верхний колонтитул Знак"/>
    <w:basedOn w:val="DefaultParagraphFont"/>
    <w:uiPriority w:val="99"/>
    <w:semiHidden/>
    <w:qFormat/>
    <w:rPr>
      <w:rFonts w:eastAsia="" w:eastAsiaTheme="minorEastAsia"/>
      <w:lang w:eastAsia="ru-RU"/>
    </w:rPr>
  </w:style>
  <w:style w:type="character" w:styleId="Style16" w:customStyle="1">
    <w:name w:val="Нижний колонтитул Знак"/>
    <w:basedOn w:val="DefaultParagraphFont"/>
    <w:uiPriority w:val="99"/>
    <w:semiHidden/>
    <w:qFormat/>
    <w:rPr>
      <w:rFonts w:eastAsia="" w:eastAsiaTheme="minorEastAsia"/>
      <w:lang w:eastAsia="ru-RU"/>
    </w:rPr>
  </w:style>
  <w:style w:type="paragraph" w:styleId="Style17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Noto 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cs="Noto Sans"/>
    </w:rPr>
  </w:style>
  <w:style w:type="paragraph" w:styleId="BalloonText">
    <w:name w:val="Balloon Text"/>
    <w:basedOn w:val="Normal"/>
    <w:link w:val="Style14"/>
    <w:uiPriority w:val="99"/>
    <w:semiHidden/>
    <w:unhideWhenUsed/>
    <w:qFormat/>
    <w:pPr/>
    <w:rPr>
      <w:rFonts w:ascii="Segoe UI" w:hAnsi="Segoe UI" w:cs="Segoe UI"/>
      <w:sz w:val="18"/>
      <w:szCs w:val="18"/>
    </w:rPr>
  </w:style>
  <w:style w:type="paragraph" w:styleId="user2">
    <w:name w:val="Колонтитулы (user)"/>
    <w:basedOn w:val="Normal"/>
    <w:qFormat/>
    <w:pPr/>
    <w:rPr/>
  </w:style>
  <w:style w:type="paragraph" w:styleId="Style19">
    <w:name w:val="Колонтитулы"/>
    <w:basedOn w:val="Normal"/>
    <w:qFormat/>
    <w:pPr/>
    <w:rPr/>
  </w:style>
  <w:style w:type="paragraph" w:styleId="Header">
    <w:name w:val="header"/>
    <w:basedOn w:val="Normal"/>
    <w:link w:val="Style15"/>
    <w:uiPriority w:val="99"/>
    <w:semiHidden/>
    <w:unhideWhenUsed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6"/>
    <w:uiPriority w:val="99"/>
    <w:semiHidden/>
    <w:unhideWhenUsed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ConsPlusNormal" w:customStyle="1">
    <w:name w:val="ConsPlusNormal"/>
    <w:uiPriority w:val="0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Arial" w:hAnsi="Arial" w:eastAsia="" w:cs="Arial" w:eastAsiaTheme="minorEastAsia"/>
      <w:color w:val="auto"/>
      <w:kern w:val="0"/>
      <w:sz w:val="20"/>
      <w:szCs w:val="22"/>
      <w:lang w:val="ru-RU" w:eastAsia="ru-RU" w:bidi="ar-SA"/>
    </w:rPr>
  </w:style>
  <w:style w:type="paragraph" w:styleId="ConsPlusTitle" w:customStyle="1">
    <w:name w:val="ConsPlusTitle"/>
    <w:uiPriority w:val="0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Arial" w:hAnsi="Arial" w:eastAsia="" w:cs="Arial" w:eastAsiaTheme="minorEastAsia"/>
      <w:b/>
      <w:color w:val="auto"/>
      <w:kern w:val="0"/>
      <w:sz w:val="20"/>
      <w:szCs w:val="22"/>
      <w:lang w:val="ru-RU" w:eastAsia="ru-RU" w:bidi="ar-SA"/>
    </w:rPr>
  </w:style>
  <w:style w:type="table" w:default="1" w:styleId="3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Application>LibreOffice/25.8.4.2$Linux_X86_64 LibreOffice_project/290daaa01b999472f0c7a3890eb6a550fd74c6df</Application>
  <AppVersion>15.0000</AppVersion>
  <Pages>5</Pages>
  <Words>603</Words>
  <Characters>3812</Characters>
  <CharactersWithSpaces>4204</CharactersWithSpaces>
  <Paragraphs>258</Paragraphs>
  <Company>Reanimator Extreme Edition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2026-02-05T05:26:00Z</dcterms:created>
  <dc:creator>Urist</dc:creator>
  <dc:description/>
  <dc:language>ru-RU</dc:language>
  <cp:lastModifiedBy/>
  <cp:lastPrinted>2026-02-18T10:46:43Z</cp:lastPrinted>
  <dcterms:modified xsi:type="dcterms:W3CDTF">2026-02-19T09:43:34Z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56D07FBFBCF8467BA947DA38750A1D91_12</vt:lpwstr>
  </property>
  <property fmtid="{D5CDD505-2E9C-101B-9397-08002B2CF9AE}" pid="3" name="KSOProductBuildVer">
    <vt:lpwstr>1049-12.2.0.23196</vt:lpwstr>
  </property>
</Properties>
</file>